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89C3"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Ogłoszenie o zamówieniu Roboty budowlane Roboty budowlane w budynku warsztatowym C Zespołu Szkół Ponadpodstawowych Nr 2 Centrum Kształcenia Zawodowego im. Tadeusza Kościuszki w Łowiczu </w:t>
      </w:r>
    </w:p>
    <w:p w14:paraId="3853BEA6"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I - ZAMAWIAJĄCY </w:t>
      </w:r>
    </w:p>
    <w:p w14:paraId="5CD9E61C"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1.1.) Rola zamawiającego Postępowanie prowadzone jest samodzielnie przez zamawiającego </w:t>
      </w:r>
    </w:p>
    <w:p w14:paraId="582973EA"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1.2.) Nazwa zamawiającego: POWIAT ŁOWICKI </w:t>
      </w:r>
    </w:p>
    <w:p w14:paraId="3B5B7A1F"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1.4) Krajowy Numer Identyfikacyjny: REGON 750147768 </w:t>
      </w:r>
    </w:p>
    <w:p w14:paraId="30F17DBA"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 Adres zamawiającego </w:t>
      </w:r>
    </w:p>
    <w:p w14:paraId="79FD98F5"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1.5.1.) Ulica: ul. Stanisława Stanisławskiego 30 </w:t>
      </w:r>
    </w:p>
    <w:p w14:paraId="4588E2AD"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1.5.2.) Miejscowość: Łowicz </w:t>
      </w:r>
    </w:p>
    <w:p w14:paraId="7D3705A7"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1.5.3.) Kod pocztowy: 99-400 </w:t>
      </w:r>
    </w:p>
    <w:p w14:paraId="44B28FC2"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1.5.4.) Województwo: łódzkie </w:t>
      </w:r>
    </w:p>
    <w:p w14:paraId="286B893A"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1.5.5.) Kraj: Polska </w:t>
      </w:r>
    </w:p>
    <w:p w14:paraId="79F8E77F"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1.5.6.) Lokalizacja NUTS 3: PL715 - Skierniewicki </w:t>
      </w:r>
    </w:p>
    <w:p w14:paraId="17553D63"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1.5.7.) Numer telefonu: 468115365 </w:t>
      </w:r>
    </w:p>
    <w:p w14:paraId="4E58FFFD" w14:textId="3750F2CA"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1.5.9.) Adres poczty elektronicznej: </w:t>
      </w:r>
      <w:hyperlink r:id="rId7" w:history="1">
        <w:r w:rsidRPr="00C167DC">
          <w:rPr>
            <w:rStyle w:val="Hipercze"/>
            <w:rFonts w:ascii="Arial" w:hAnsi="Arial" w:cs="Arial"/>
            <w:color w:val="auto"/>
            <w:sz w:val="24"/>
            <w:szCs w:val="24"/>
          </w:rPr>
          <w:t>magdalena.zurawska@powiatlowicki.pl</w:t>
        </w:r>
      </w:hyperlink>
      <w:r w:rsidRPr="00C167DC">
        <w:rPr>
          <w:rFonts w:ascii="Arial" w:hAnsi="Arial" w:cs="Arial"/>
          <w:sz w:val="24"/>
          <w:szCs w:val="24"/>
        </w:rPr>
        <w:t xml:space="preserve"> </w:t>
      </w:r>
    </w:p>
    <w:p w14:paraId="4970AF26" w14:textId="4B8CC8C0"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1.5.10.) Adres strony internetowej zamawiającego: </w:t>
      </w:r>
      <w:hyperlink r:id="rId8" w:history="1">
        <w:r w:rsidRPr="00C167DC">
          <w:rPr>
            <w:rStyle w:val="Hipercze"/>
            <w:rFonts w:ascii="Arial" w:hAnsi="Arial" w:cs="Arial"/>
            <w:color w:val="auto"/>
            <w:sz w:val="24"/>
            <w:szCs w:val="24"/>
          </w:rPr>
          <w:t>www.powiat.lowicz.pl</w:t>
        </w:r>
      </w:hyperlink>
      <w:r w:rsidRPr="00C167DC">
        <w:rPr>
          <w:rFonts w:ascii="Arial" w:hAnsi="Arial" w:cs="Arial"/>
          <w:sz w:val="24"/>
          <w:szCs w:val="24"/>
        </w:rPr>
        <w:t xml:space="preserve"> </w:t>
      </w:r>
    </w:p>
    <w:p w14:paraId="4B48C730"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1.6.) Rodzaj zamawiającego: Zamawiający publiczny - jednostka sektora finansów publicznych - jednostka samorządu terytorialnego </w:t>
      </w:r>
    </w:p>
    <w:p w14:paraId="3AEE3504"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1.7.) Przedmiot działalności zamawiającego: Ogólne usługi publiczne </w:t>
      </w:r>
    </w:p>
    <w:p w14:paraId="1CCDA08E"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II – INFORMACJE PODSTAWOWE </w:t>
      </w:r>
    </w:p>
    <w:p w14:paraId="5274D5DB"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2.1.) Ogłoszenie dotyczy: Zamówienia publicznego </w:t>
      </w:r>
    </w:p>
    <w:p w14:paraId="2F810F27"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2.2.) Ogłoszenie dotyczy usług społecznych i innych szczególnych usług: Nie </w:t>
      </w:r>
    </w:p>
    <w:p w14:paraId="7D5807A3"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2.3.) Nazwa zamówienia albo umowy ramowej: Roboty budowlane w budynku warsztatowym C Zespołu Szkół Ponadpodstawowych Nr 2 Centrum Kształcenia Zawodowego im. Tadeusza Kościuszki w Łowiczu </w:t>
      </w:r>
    </w:p>
    <w:p w14:paraId="238B50E2"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2.4.) Identyfikator postępowania: ocds-148610-021913a1-724f-4711-8dce-57391fd4d7c7 </w:t>
      </w:r>
    </w:p>
    <w:p w14:paraId="625CA281"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2.5.) Numer ogłoszenia: 2026/BZP 00120151 </w:t>
      </w:r>
    </w:p>
    <w:p w14:paraId="38FBF352"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2.6.) Wersja ogłoszenia: 01 </w:t>
      </w:r>
    </w:p>
    <w:p w14:paraId="3CDC66B6"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2.7.) Data ogłoszenia: 2026-02-19 </w:t>
      </w:r>
    </w:p>
    <w:p w14:paraId="06AAADD6"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2.8.) Zamówienie albo umowa ramowa zostały ujęte w planie postępowań: Tak </w:t>
      </w:r>
    </w:p>
    <w:p w14:paraId="70D01653"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lastRenderedPageBreak/>
        <w:t xml:space="preserve">2.9.) Numer planu postępowań w BZP: 2026/BZP 00044432/01/P </w:t>
      </w:r>
    </w:p>
    <w:p w14:paraId="5358DBB1"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2.10.) Identyfikator pozycji planu postępowań: 1.1.1 Roboty budowlane w budynku warsztatowym C Zespołu Szkół Ponadpodstawowych Nr 2 Centrum Kształcenia Zawodowego im. Tadeusza Kościuszki w Łowiczu </w:t>
      </w:r>
    </w:p>
    <w:p w14:paraId="1A0EBC9B"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2.11.) O udzielenie zamówienia mogą ubiegać się wyłącznie wykonawcy, o których mowa w art. 94 ustawy:</w:t>
      </w:r>
      <w:r w:rsidRPr="00C167DC">
        <w:rPr>
          <w:rFonts w:ascii="Arial" w:hAnsi="Arial" w:cs="Arial"/>
          <w:sz w:val="24"/>
          <w:szCs w:val="24"/>
        </w:rPr>
        <w:t xml:space="preserve"> </w:t>
      </w:r>
      <w:r w:rsidRPr="00C167DC">
        <w:rPr>
          <w:rFonts w:ascii="Arial" w:hAnsi="Arial" w:cs="Arial"/>
          <w:sz w:val="24"/>
          <w:szCs w:val="24"/>
        </w:rPr>
        <w:t xml:space="preserve">Nie </w:t>
      </w:r>
    </w:p>
    <w:p w14:paraId="6A1F1F05"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2.14.) Czy zamówienie albo umowa ramowa dotyczy projektu lub programu współfinansowanego ze środków Unii Europejskiej: Tak </w:t>
      </w:r>
    </w:p>
    <w:p w14:paraId="2A84E620"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2.15.) Nazwa projektu lub programu Zamówienie jest dofinansowane ze środków Europejskiego Funduszu Rozwoju Regionalnego w ramach Programu Regionalnego Fundusze Europejskie dla Łódzkiego 2021 – 2027 w ramach projektu pn. „Modernizacja pracowni warsztatowych do potrzeb zdobycia kwalifikacji branżowych na nowoczesnym rynku pracy mechanizacji rolnictwa”, zwanego dalej projektem lub Projektem, również załącznikach do niniejszej SWZ. </w:t>
      </w:r>
    </w:p>
    <w:p w14:paraId="296B6B0F"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2.16.) Tryb udzielenia zamówienia wraz z podstawą prawną Zamówienie udzielane jest w trybie podstawowym na podstawie: art. 275 pkt 2 ustawy </w:t>
      </w:r>
    </w:p>
    <w:p w14:paraId="53781962" w14:textId="795C9734"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III – UDOSTĘPNIANIE DOKUMENTÓW ZAMÓWIENIA I KOMUNIKACJA 3.1.) Adres strony internetowej prowadzonego postępowania </w:t>
      </w:r>
      <w:hyperlink r:id="rId9" w:history="1">
        <w:r w:rsidRPr="00C167DC">
          <w:rPr>
            <w:rStyle w:val="Hipercze"/>
            <w:rFonts w:ascii="Arial" w:hAnsi="Arial" w:cs="Arial"/>
            <w:color w:val="auto"/>
            <w:sz w:val="24"/>
            <w:szCs w:val="24"/>
          </w:rPr>
          <w:t>https://ezamowienia.gov.pl/mp-client/search/list/ocds-148610-021913a1-724f-4711-8dce-57391fd4d7c7</w:t>
        </w:r>
      </w:hyperlink>
      <w:r w:rsidRPr="00C167DC">
        <w:rPr>
          <w:rFonts w:ascii="Arial" w:hAnsi="Arial" w:cs="Arial"/>
          <w:sz w:val="24"/>
          <w:szCs w:val="24"/>
        </w:rPr>
        <w:t xml:space="preserve"> </w:t>
      </w:r>
    </w:p>
    <w:p w14:paraId="227404AF"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3.2.) Zamawiający zastrzega dostęp do dokumentów zamówienia:</w:t>
      </w:r>
      <w:r w:rsidRPr="00C167DC">
        <w:rPr>
          <w:rFonts w:ascii="Arial" w:hAnsi="Arial" w:cs="Arial"/>
          <w:sz w:val="24"/>
          <w:szCs w:val="24"/>
        </w:rPr>
        <w:t xml:space="preserve"> </w:t>
      </w:r>
      <w:r w:rsidRPr="00C167DC">
        <w:rPr>
          <w:rFonts w:ascii="Arial" w:hAnsi="Arial" w:cs="Arial"/>
          <w:sz w:val="24"/>
          <w:szCs w:val="24"/>
        </w:rPr>
        <w:t xml:space="preserve">Nie </w:t>
      </w:r>
    </w:p>
    <w:p w14:paraId="7417CB98"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3.4.) Wykonawcy zobowiązani są do składania ofert, wniosków o dopuszczenie do udziału w postępowaniu, oświadczeń oraz innych dokumentów wyłącznie przy użyciu środków komunikacji elektronicznej: Tak </w:t>
      </w:r>
    </w:p>
    <w:p w14:paraId="6F2E9D47"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3.5.) Informacje o środkach komunikacji elektronicznej, przy użyciu których zamawiający będzie komunikował się z wykonawcami - adres strony internetowej: 1. W postępowaniu o udzielenie zamówienia publicznego komunikacja między Zamawiającym a Wykonawcami odbywa się przy użyciu Platformy e -Zamówienia. 2. Adres strony internetowej prowadzonego postępowania (link prowadzący bezpośrednio do widoku postępowania na Platformie </w:t>
      </w:r>
      <w:proofErr w:type="spellStart"/>
      <w:r w:rsidRPr="00C167DC">
        <w:rPr>
          <w:rFonts w:ascii="Arial" w:hAnsi="Arial" w:cs="Arial"/>
          <w:sz w:val="24"/>
          <w:szCs w:val="24"/>
        </w:rPr>
        <w:t>eZamówienia</w:t>
      </w:r>
      <w:proofErr w:type="spellEnd"/>
      <w:r w:rsidRPr="00C167DC">
        <w:rPr>
          <w:rFonts w:ascii="Arial" w:hAnsi="Arial" w:cs="Arial"/>
          <w:sz w:val="24"/>
          <w:szCs w:val="24"/>
        </w:rPr>
        <w:t xml:space="preserve">): https://ezamowienia.gov.pl/mp-client/search/list/ocds-148610-021913a1-724f-4711-8dce-57391fd4d7c7 Postępowanie można wyszukać również ze strony głównej Platformy e-Zamówienia (przycisk „Przeglądaj postępowania/konkursy”). 3. </w:t>
      </w:r>
      <w:r w:rsidRPr="00C167DC">
        <w:rPr>
          <w:rFonts w:ascii="Arial" w:hAnsi="Arial" w:cs="Arial"/>
          <w:sz w:val="24"/>
          <w:szCs w:val="24"/>
        </w:rPr>
        <w:lastRenderedPageBreak/>
        <w:t xml:space="preserve">Identyfikator (ID) postępowania na Platformie e-Zamówienia: ocds-148610-021913a1-724f-4711-8dce-57391fd4d7c7 4. W szczególnie uzasadnionych przypadkach uniemożliwiających komunikację Wykonawcy i Zamawiającego za pośrednictwem Platformy e-Zamówienia, Zamawiający dopuszcza komunikację za pomocą poczty elektronicznej na adres email: magdalena.zurawska@powiatlowicki.pl (nie dotyczy składania ofert). </w:t>
      </w:r>
    </w:p>
    <w:p w14:paraId="166F7468"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3.6.) Wymagania techniczne i organizacyjne dotyczące korespondencji elektronicznej: 1. Wykonawca zamierzający wziąć udział w postępowaniu o udzielenie zamówienia publicznego musi posiadać konto podmiotu „Wykonawca” na Platformie </w:t>
      </w:r>
      <w:proofErr w:type="spellStart"/>
      <w:r w:rsidRPr="00C167DC">
        <w:rPr>
          <w:rFonts w:ascii="Arial" w:hAnsi="Arial" w:cs="Arial"/>
          <w:sz w:val="24"/>
          <w:szCs w:val="24"/>
        </w:rPr>
        <w:t>eZamówienia</w:t>
      </w:r>
      <w:proofErr w:type="spellEnd"/>
      <w:r w:rsidRPr="00C167DC">
        <w:rPr>
          <w:rFonts w:ascii="Arial" w:hAnsi="Arial" w:cs="Arial"/>
          <w:sz w:val="24"/>
          <w:szCs w:val="24"/>
        </w:rPr>
        <w:t xml:space="preserve">. 2. Szczegółowe informacje na temat zakładania kont podmiotów oraz zasady i warunki korzystania z Platformy e-Zamówienia określa Regulamin Platformy e-Zamówienia, dostępny na stronie internetowej https://ezamowienia.gov.pl/pl/regulamin/#regulaminserwisu oraz informacje zamieszczone w zakładce „Centrum Pomocy”. 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4. Możliwość korzystania w postępowaniu z „Formularzy do komunikacji” w pełnym zakresie wymaga posiadania konta „Wykonawcy” na Platformie e-Zamówienia. Do korzystania z „Formularzy do komunikacji” służących do zadawania pytań dotyczących treści specyfikacji warunków zamówienia (SWZ) wystarczające jest posiadanie tzw. konta uproszczonego na Platformie e-Zamówienia. Rodzaj wiadomości: "Inny" nie umożliwia bezpośredniej odpowiedzi do Nadawcy wiadomości. Dotyczy to zarówno wiadomości wysłanych z kont Wykonawcy jak i kont uproszczonych. Na wiadomość typu „Inne”, Zamawiający nie ma możliwości wysłać odpowiedzi poprzez e-Zamówienia. W wyszukiwarce formularzy do komunikacji w polu "Wyszukaj adresata" pojawiają się tylko dane Wykonawców, nie ma możliwości znalezienia tam danych kont uproszczonych. 5. Wszystkie wysłane i odebrane w postępowaniu przez Wykonawcę wiadomości widoczne są po zalogowaniu w podglądzie postępowania w zakładce „Komunikacja”. 6. Maksymalny rozmiar plików </w:t>
      </w:r>
      <w:r w:rsidRPr="00C167DC">
        <w:rPr>
          <w:rFonts w:ascii="Arial" w:hAnsi="Arial" w:cs="Arial"/>
          <w:sz w:val="24"/>
          <w:szCs w:val="24"/>
        </w:rPr>
        <w:lastRenderedPageBreak/>
        <w:t xml:space="preserve">przesyłanych za pośrednictwem „Formularzy do komunikacji” wynosi 250 MB (wielkość ta dotyczy plików przesyłanych jako załączniki do jednego formularza). 7. Minimalne wymagania techniczne dotyczące sprzętu używanego w celu korzystania z usług Platformy e-Zamówienia oraz informacje dotyczące specyfikacji połączenia określa Regulamin Platformy e-Zamówienia, dostępny na stronie internetowej https://ezamowienia.gov.pl 8.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167DC">
        <w:rPr>
          <w:rFonts w:ascii="Arial" w:hAnsi="Arial" w:cs="Arial"/>
          <w:sz w:val="24"/>
          <w:szCs w:val="24"/>
        </w:rPr>
        <w:t>drag&amp;drop</w:t>
      </w:r>
      <w:proofErr w:type="spellEnd"/>
      <w:r w:rsidRPr="00C167DC">
        <w:rPr>
          <w:rFonts w:ascii="Arial" w:hAnsi="Arial" w:cs="Arial"/>
          <w:sz w:val="24"/>
          <w:szCs w:val="2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Maksymalny łączny rozmiar plików stanowiących ofertę lub składanych wraz z ofertą to 250 MB. </w:t>
      </w:r>
    </w:p>
    <w:p w14:paraId="1AA6BFA6"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3.8.) Zamawiający wymaga sporządzenia i przedstawienia ofert przy użyciu narzędzi elektronicznego modelowania danych budowlanych lub innych podobnych narzędzi, które nie są ogólnie dostępne: Nie </w:t>
      </w:r>
    </w:p>
    <w:p w14:paraId="179A456A"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3.12.) Oferta - katalog elektroniczny: Nie dotyczy </w:t>
      </w:r>
    </w:p>
    <w:p w14:paraId="1AACE442"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3.14.) Języki, w jakich mogą być sporządzane dokumenty składane w postępowaniu: polski </w:t>
      </w:r>
    </w:p>
    <w:p w14:paraId="7DEFDCE5"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3.15.) RODO (obowiązek informacyjny): Zamawiający realizuje obowiązek informacyjny, o którym mowa w art. 13 ust. 1-3 rozporządzenia 2016/679 poprzez zamieszczenie wymaganych informacji w dokumentach zamówienia ze względu na ograniczoną liczbę znaków niniejszego </w:t>
      </w:r>
      <w:proofErr w:type="spellStart"/>
      <w:r w:rsidRPr="00C167DC">
        <w:rPr>
          <w:rFonts w:ascii="Arial" w:hAnsi="Arial" w:cs="Arial"/>
          <w:sz w:val="24"/>
          <w:szCs w:val="24"/>
        </w:rPr>
        <w:t>niniejszego</w:t>
      </w:r>
      <w:proofErr w:type="spellEnd"/>
      <w:r w:rsidRPr="00C167DC">
        <w:rPr>
          <w:rFonts w:ascii="Arial" w:hAnsi="Arial" w:cs="Arial"/>
          <w:sz w:val="24"/>
          <w:szCs w:val="24"/>
        </w:rPr>
        <w:t xml:space="preserve"> pola (maksymalna długość pola 4000). 3.16.) RODO (ograniczenia stosowania): Zamawiający realizuje obowiązek informacyjny, o którym mowa w art. 13 ust. 1-3 rozporządzenia 2016/679 poprzez zamieszczenie wymaganych informacji w dokumentach zamówienia ze względu na ograniczoną liczbę znaków niniejszego </w:t>
      </w:r>
      <w:proofErr w:type="spellStart"/>
      <w:r w:rsidRPr="00C167DC">
        <w:rPr>
          <w:rFonts w:ascii="Arial" w:hAnsi="Arial" w:cs="Arial"/>
          <w:sz w:val="24"/>
          <w:szCs w:val="24"/>
        </w:rPr>
        <w:t>niniejszego</w:t>
      </w:r>
      <w:proofErr w:type="spellEnd"/>
      <w:r w:rsidRPr="00C167DC">
        <w:rPr>
          <w:rFonts w:ascii="Arial" w:hAnsi="Arial" w:cs="Arial"/>
          <w:sz w:val="24"/>
          <w:szCs w:val="24"/>
        </w:rPr>
        <w:t xml:space="preserve"> pola (maksymalna długość pola 4000). </w:t>
      </w:r>
    </w:p>
    <w:p w14:paraId="1E2E8521"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IV – PRZEDMIOT ZAMÓWIENIA </w:t>
      </w:r>
    </w:p>
    <w:p w14:paraId="549A8674"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 Informacje ogólne odnoszące się do przedmiotu zamówienia. </w:t>
      </w:r>
    </w:p>
    <w:p w14:paraId="6FCF013B"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lastRenderedPageBreak/>
        <w:t xml:space="preserve">4.1.1.) Przed wszczęciem postępowania przeprowadzono konsultacje rynkowe: Nie 4.1.2.) Numer referencyjny: FIZ.272.2.2026 </w:t>
      </w:r>
    </w:p>
    <w:p w14:paraId="098002C8"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4.1.3.) Rodzaj zamówienia: Roboty budowlane </w:t>
      </w:r>
    </w:p>
    <w:p w14:paraId="41C5D2AA"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4.1.4.) Zamawiający udziela zamówienia w częściach, z których każda stanowi przedmiot odrębnego postępowania: Tak </w:t>
      </w:r>
    </w:p>
    <w:p w14:paraId="076A4080"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4.1.8.) Możliwe jest składanie ofert częściowych: Nie </w:t>
      </w:r>
    </w:p>
    <w:p w14:paraId="3238A3C1" w14:textId="77777777" w:rsidR="00662545"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4.1.13.) Zamawiający uwzględnia aspekty społeczne, środowiskowe lub etykiety w opisie przedmiotu zamówienia: Tak </w:t>
      </w:r>
    </w:p>
    <w:p w14:paraId="5EFBD4F9"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4.1.14.) Określenie aspektów społecznych, środowiskowych lub etykiet w opisie przedmiotu zamówienia: Zamawiający uwzględnił wymagania w zakresie dostępności dla osób niepełnosprawnych oraz projektowania z przeznaczeniem dla wszystkich użytkowników, zgodnie z art. 100 ust. 1 ustawy </w:t>
      </w:r>
    </w:p>
    <w:p w14:paraId="1C1550E7"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 Informacje szczegółowe odnoszące się do przedmiotu zamówienia: </w:t>
      </w:r>
    </w:p>
    <w:p w14:paraId="2E5921F4" w14:textId="09D4DB39"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4.2.2.) Krótki opis przedmiotu zamówienia 1. Przedmiotem zamówienia jest wykonanie robót budowlanych polegających na remoncie pomieszczeń dydaktycznych na parterze i piętrze budynku C Zespołu Szkół Ponadpodstawowych Nr 2 Centrum Kształcenia Zawodowego im. Tadeusza Kościuszki w Łowiczu w ramach projektu pn.: „Modernizacja pracowni warsztatowych do potrzeb zdobycia kwalifikacji branżowych na nowoczesnym rynku pracy mechanizacji rolnictwa”. 1.1. Zakres zamówienia obejmuje pomieszczenia, w których należy wykonać następujące prace: 1.1.1. Pracownia </w:t>
      </w:r>
      <w:proofErr w:type="spellStart"/>
      <w:r w:rsidRPr="00C167DC">
        <w:rPr>
          <w:rFonts w:ascii="Arial" w:hAnsi="Arial" w:cs="Arial"/>
          <w:sz w:val="24"/>
          <w:szCs w:val="24"/>
        </w:rPr>
        <w:t>agrotroniki</w:t>
      </w:r>
      <w:proofErr w:type="spellEnd"/>
      <w:r w:rsidRPr="00C167DC">
        <w:rPr>
          <w:rFonts w:ascii="Arial" w:hAnsi="Arial" w:cs="Arial"/>
          <w:sz w:val="24"/>
          <w:szCs w:val="24"/>
        </w:rPr>
        <w:t xml:space="preserve"> II o powierzchni (która powstanie w wyniku realizacji zamówienia) 31,61 m2 i wysokości pomieszczenia 3,0 m: - wykucie z muru ościeżnic z drzwiami, - wykucie z muru okna, - demontaż grzejników (do ponownego montażu), - demontaż instalacji elektrycznej i wodno-kanalizacyjnej, - skucie i demontaż okładziny podłogowej, - rozbiórka ścian działowych, - demontaż sufitu podwieszonego, - zeskrobanie i zmycie starej farby, - murowanie ściany działowej z wykonaniem wykończenia, - montaż instalacji elektrycznej oświetleniowej i gniazd wtykowych, - montaż instalacji internetowej - gniazd RJ45 z podłączeniem do projektowanej szafy RACK, - naprawa i uzupełnienie tynków, - gruntowanie, gładzenie i malowanie ścian, - montaż sufitu podwieszonego z konstrukcją wsporczą, - montaż uchwytu projektora (z demontażu), - montaż grzejników z demontażu, - usprawnienie wentylacji pomieszczenia (montaż nawiewników okiennych, montaż kanału wentylacyjnego), - montaż podłogi z płytek ceramicznych wraz z listwami </w:t>
      </w:r>
      <w:r w:rsidRPr="00C167DC">
        <w:rPr>
          <w:rFonts w:ascii="Arial" w:hAnsi="Arial" w:cs="Arial"/>
          <w:sz w:val="24"/>
          <w:szCs w:val="24"/>
        </w:rPr>
        <w:lastRenderedPageBreak/>
        <w:t xml:space="preserve">przypodłogowymi, - montaż drzwi o podwyższonej izolacyjności akustycznej z ościeżnicą, - wywóz i utylizacja gruzu oraz pozostałych materiałów z rozbiórek i demontaży, - prace porządkowe, - pomiary elektryczne, - badania szczelności instalacji wodno-kanalizacyjnej i centralnego ogrzewania, - montaż przed wejściem tabliczki informacyjnej z nazwą pomieszczenia z dodatkowym tekstem w alfabecie Braille'a. Pracownia powstanie w rezultacie połączenia pomieszczeń oraz powiększenia o część korytarza. 1.1.2. Pracownia rolnictwa precyzyjnego o powierzchni (która powstanie w wyniku realizacji zamówienia) 33,63 m2 i wysokości pomieszczenia 4,51 m: - wykucie z muru ościeżnic z drzwiami, - demontaż grzejników, - demontaż instalacji elektrycznej, - demontaż i skucie istniejącej posadzki wraz z pracami umożliwiającymi przystosowanie poziomu posadzki pomieszczenia do poziomu posadzki przed wejściem (frezowanie warstwy betonowej), - zeskrobanie i zmycie starej farby, - zamurowanie otworu drzwiowego z wykonaniem wykończenia ściany, - montaż instalacji elektrycznej oświetleniowej i gniazd wtykowych, - montaż instalacji internetowej - gniazd RJ45 z podłączeniem do projektowanej szafy RACK, - montaż uchwytu projektora, - montaż kabla HDMI z gniazdami przy rzutniku i biurku nauczyciela, - naprawa i uzupełnienie tynków, - wykonanie okładzin ściennych z płytek do wysokości górnej linii drzwi, - gruntowanie, gładzenie, malowanie ścian i sufitów, - montaż posadzki z płytek </w:t>
      </w:r>
      <w:proofErr w:type="spellStart"/>
      <w:r w:rsidRPr="00C167DC">
        <w:rPr>
          <w:rFonts w:ascii="Arial" w:hAnsi="Arial" w:cs="Arial"/>
          <w:sz w:val="24"/>
          <w:szCs w:val="24"/>
        </w:rPr>
        <w:t>gresowych</w:t>
      </w:r>
      <w:proofErr w:type="spellEnd"/>
      <w:r w:rsidRPr="00C167DC">
        <w:rPr>
          <w:rFonts w:ascii="Arial" w:hAnsi="Arial" w:cs="Arial"/>
          <w:sz w:val="24"/>
          <w:szCs w:val="24"/>
        </w:rPr>
        <w:t xml:space="preserve">, - montaż nowych grzejników, - usprawnienie wentylacji pomieszczenia (montaż nawiewników okiennych, udrożnienie, czyszczenie istniejących wywietrzaków sufitowych), - montaż drzwi o podwyższonej izolacyjności akustycznej z ościeżnicą, - wywóz i utylizacja gruzu oraz pozostałych materiałów z rozbiórek i demontaży, - prace porządkowe, - pomiary elektryczne, badania szczelności instalacji centralnego ogrzewania, - montaż przed wejściem tabliczki informacyjnej z nazwą pomieszczenia z dodatkowym tekstem w alfabecie Braille'a. 1.1.3. Ślusarnia o powierzchni 49,93 m2 i wysokości pomieszczenia 4,51 m: - wykucie z muru ościeżnic z drzwiami, - demontaż grzejników, - demontaż instalacji elektrycznej, - demontaż i skucie istniejącej posadzki wraz z pracami umożliwiającymi przystosowanie poziomu posadzki pomieszczenia, do poziomu posadzki przed wejściem (frezowanie warstwy betonowej), - zeskrobanie i zmycie starej farby, - montaż instalacji elektrycznej oświetleniowej i gniazd wtykowych, - naprawa i uzupełnienie tynków, - wykonanie okładzin ściennych z płytek do wysokości górnej linii drzwi, - wykonanie posadzki </w:t>
      </w:r>
      <w:r w:rsidRPr="00C167DC">
        <w:rPr>
          <w:rFonts w:ascii="Arial" w:hAnsi="Arial" w:cs="Arial"/>
          <w:sz w:val="24"/>
          <w:szCs w:val="24"/>
        </w:rPr>
        <w:lastRenderedPageBreak/>
        <w:t xml:space="preserve">technicznej z żywicy epoksydowej z posypką kwarcową wraz z równaniem frezowanej warstwy za pomocą dodatkowej wylewki betonowej, - gruntowanie, gładzenie, malowanie ścian i sufitów, - montaż nowych grzejników, - usprawnienie wentylacji pomieszczenia (montaż nawiewników okiennych, udrożnienie, czyszczenie istniejących wywietrzaków sufitowych), - montaż drzwi o podwyższonej izolacyjności akustycznej z ościeżnicą, - wywóz i utylizacja gruzu oraz pozostałych materiałów z rozbiórek i demontaży, - prace porządkowe, - pomiary elektryczne, badania szczelności instalacji centralnego ogrzewania, - montaż przed wejściem tabliczki informacyjnej z nazwą pomieszczenia z dodatkowym tekstem w alfabecie Braille'a. 1.1.4. Spawalnia o powierzchni 50,19 m2 i wysokości pomieszczenia 4,51 m: - wykucie z muru ościeżnic z drzwiami, - wykucie z muru naświetli, - demontaż grzejników, - demontaż instalacji elektrycznej, - demontaż istniejących rurociągów wyciągu ze stanowisk spawalniczych (do powtórnego montażu), - demontaż stanowisk spawalniczych wraz z odciągami (do powtórnego montażu), - prace rozbiórkowe w obrębie posadzki umożliwiające przystosowanie poziomu posadzki pomieszczenia, do poziomu posadzki przed wejściem (frezowanie warstwy betonowej), - zeskrobanie i zmycie starej farby, - montaż instalacji elektrycznej oświetleniowej i gniazd wtykowych, - naprawa i uzupełnienie tynków, - wykonanie powłoki malarskiej z atestowanej farby poliwinylowej przeznaczonej do malowania pomieszczeń spawalniczych do wysokości prowadzenia prac spawalniczych (około 2,4 m), - wykonanie posadzki technicznej z żywicy epoksydowej z posypką kwarcową wraz z równaniem frezowanej warstwy, - gruntowanie, gładzenie, malowanie ścian i sufitów, - montaż nowych grzejników, - usprawnienie wentylacji pomieszczenia, poprzez: montaż nawiewników okiennych, udrożnienie, czyszczenie istniejących wywietrzaków sufitowych, montaż nawiewnej kratki wentylacyjnej z przepustnicą – do kompensacji powietrza zasysanego przez odciągi spawalnicze, - montaż drzwi o podwyższonej izolacyjności akustycznej z ościeżnicą (dwuskrzydłowych), - montaż nowych naświetli typu </w:t>
      </w:r>
      <w:proofErr w:type="spellStart"/>
      <w:r w:rsidRPr="00C167DC">
        <w:rPr>
          <w:rFonts w:ascii="Arial" w:hAnsi="Arial" w:cs="Arial"/>
          <w:sz w:val="24"/>
          <w:szCs w:val="24"/>
        </w:rPr>
        <w:t>fix</w:t>
      </w:r>
      <w:proofErr w:type="spellEnd"/>
      <w:r w:rsidRPr="00C167DC">
        <w:rPr>
          <w:rFonts w:ascii="Arial" w:hAnsi="Arial" w:cs="Arial"/>
          <w:sz w:val="24"/>
          <w:szCs w:val="24"/>
        </w:rPr>
        <w:t xml:space="preserve">, - montaż ponowny istniejących rurociągów wyciągu ze stanowisk spawalniczych, - montaż ponowny stanowisk spawalniczych wraz z odciągami (do powtórnego montażu), - montaż nowego stanowiska spawalniczego, wraz z projektowanym odciągiem wykorzystującym istniejący kanał wentylacyjny, - montaż kotar ochronnych stanowisk spawalniczych wraz z konstrukcją do ich zawieszenia, - wywóz i utylizacja gruzu oraz pozostałych materiałów z rozbiórek i </w:t>
      </w:r>
      <w:r w:rsidRPr="00C167DC">
        <w:rPr>
          <w:rFonts w:ascii="Arial" w:hAnsi="Arial" w:cs="Arial"/>
          <w:sz w:val="24"/>
          <w:szCs w:val="24"/>
        </w:rPr>
        <w:lastRenderedPageBreak/>
        <w:t xml:space="preserve">demontaży, - prace porządkowe, - pomiary elektryczne, badania szczelności instalacji centralnego ogrzewania, - montaż przed wejściem tabliczki informacyjnej z nazwą pomieszczenia z dodatkowym tekstem w Alfabecie Braille'a. 1.1.5. Magazynek spawalni o powierzchni 4,43 m2 i wysokości pomieszczenia 4,51 m: - wykucie z muru ościeżnic z drzwiami, - demontaż instalacji elektrycznej, - zeskrobanie i zmycie starej farby, - prace rozbiórkowe w obrębie posadzki umożliwiające przystosowanie poziomu posadzki pomieszczenia, do poziomu posadzki przed wejściem (frezowanie warstwy betonowej), - montaż instalacji elektrycznej oświetleniowej i gniazd wtykowych, - montaż narożników ochronnych przy drzwiach, - naprawa i uzupełnienie tynków, - wykonanie posadzki technicznej z żywicy epoksydowej z posypką kwarcową, wraz z równaniem frezowanej warstwy, - wykonanie wzmocnionej powłoki malarskiej z farby ceramicznej do wysokości górnej linii drzwi, - gruntowanie, gładzenie, malowanie ścian i sufitów, - montaż drzwi jednoskrzydłowych z ościeżnicą, - wywóz i utylizacja gruzu oraz pozostałych materiałów z rozbiórek i demontaży, - prace porządkowe, - pomiary elektryczne. 2. Miejsce wykonywania robót Zespół Szkół Ponadgimnazjalnych nr 2 Rolnicze Centrum Kształcenia Ustawicznego i Praktycznego imienia Tadeusza Kościuszki w Łowiczu, ul. Blich 10, 99-400 Łowicz, Działka numer ewidencyjny 1376/6, obręb: 0004 </w:t>
      </w:r>
      <w:proofErr w:type="spellStart"/>
      <w:r w:rsidRPr="00C167DC">
        <w:rPr>
          <w:rFonts w:ascii="Arial" w:hAnsi="Arial" w:cs="Arial"/>
          <w:sz w:val="24"/>
          <w:szCs w:val="24"/>
        </w:rPr>
        <w:t>Korabka</w:t>
      </w:r>
      <w:proofErr w:type="spellEnd"/>
      <w:r w:rsidRPr="00C167DC">
        <w:rPr>
          <w:rFonts w:ascii="Arial" w:hAnsi="Arial" w:cs="Arial"/>
          <w:sz w:val="24"/>
          <w:szCs w:val="24"/>
        </w:rPr>
        <w:t xml:space="preserve">, Budynek C. 3. Zamawiający wymaga, pod rygorem odrzucenia oferty, by Wykonawca udzielił na przedmiot zamówienia minimum 36 miesięcy gwarancji oraz minimum 36 miesięcy rękojmi, licząc od daty podpisania protokołu odbioru końcowego robót. 4. Zamawiający wymaga zatrudnienia przez Wykonawcę lub podwykonawcę na podstawie umowy o pracę – w rozumieniu Kodeksu pracy - osób wykonujących następujące czynności w zakresie realizacji zamówienia: - roboty demontażowe i rozbiórkowe, - roboty zbrojarskie, betoniarskie, murarskie, - roboty okładzinowe ścian i podłóg, - roboty tynkarskie, - roboty malarskie, - roboty instalacyjne elektryczne, - roboty instalacyjne sanitarne, - roboty montażowe, - roboty porządkowe. </w:t>
      </w:r>
    </w:p>
    <w:p w14:paraId="1F01CF92"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4.2.6.) Główny kod CPV: 45000000-7 - Roboty budowlane 4.2.7.) Dodatkowy kod CPV: 45210000-2 - Roboty budowlane w zakresie budynków 45400000-1 - Roboty wykończeniowe w zakresie obiektów budowlanych 45111300-1 - Roboty rozbiórkowe 45420000-7 - Roboty w zakresie zakładania stolarki budowlanej oraz roboty ciesielskie 45430000-0 - Pokrywanie podłóg i ścian 45310000-3 - Roboty </w:t>
      </w:r>
      <w:r w:rsidRPr="00C167DC">
        <w:rPr>
          <w:rFonts w:ascii="Arial" w:hAnsi="Arial" w:cs="Arial"/>
          <w:sz w:val="24"/>
          <w:szCs w:val="24"/>
        </w:rPr>
        <w:lastRenderedPageBreak/>
        <w:t xml:space="preserve">instalacyjne elektryczne 45300000-0 - Roboty instalacyjne w budynkach 45330000-9 - Roboty instalacyjne wodno-kanalizacyjne i sanitarne 45331000-6 - Instalowanie urządzeń grzewczych, wentylacyjnych i klimatyzacyjnych </w:t>
      </w:r>
    </w:p>
    <w:p w14:paraId="3848A03B"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4.2.8.) Zamówienie obejmuje opcje: Nie </w:t>
      </w:r>
    </w:p>
    <w:p w14:paraId="7FDDE801"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4.2.10.) Okres realizacji zamówienia albo umowy ramowej: 100 dni </w:t>
      </w:r>
    </w:p>
    <w:p w14:paraId="363B4963"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4.2.11.) Zamawiający przewiduje wznowienia: Nie </w:t>
      </w:r>
    </w:p>
    <w:p w14:paraId="01F98E65"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4.2.13.) Zamawiający przewiduje udzielenie dotychczasowemu wykonawcy zamówień na podobne usługi lub roboty budowlane: Nie 4.3.) Kryteria oceny ofert 4.3.1.) Sposób oceny ofert: 1. Zamawiający oceni i porówna jedynie oferty które nie zostaną odrzucone przez Zamawiającego. 2. Przy wyborze najkorzystniejszej oferty Zamawiający będzie się kierować następującymi kryteriami i ich wagami: 2.1. Kryterium A: cena Waga kryterium 60% Punkty w Kryterium A będą obliczane wg wzoru: Cena najniższa / Cena oferty badanej x 100 x waga = suma punktów. 2.2. Kryterium B okres gwarancji Waga kryterium 40% Punkty w kryterium B zostaną przyznane na podstawie deklaracji Wykonawcy w Formularzu ofertowym według następujących zasad: za zaoferowanie 36 miesięcy gwarancji (minimalny wymagany okres) – Wykonawca otrzyma 0,00 punktów, za zaoferowanie 48 miesięcy gwarancji – Wykonawca otrzyma 20,00 punktów, za zaoferowanie 60 miesięcy gwarancji (lub więcej) – Wykonawca otrzyma 40,00 punktów. Dodatkowe zasady dotyczące przyznawania punktów w Kryterium B: - Minimalny okres gwarancji wymagany przez Zamawiającego wynosi 36 miesięcy. Zaoferowanie okresu krótszego spowoduje odrzucenie oferty jako niezgodnej z warunkami zamówienia. - Okres gwarancji musi być wyrażony w pełnych miesiącach. - W przypadku wskazania przez Wykonawcę okresu gwarancji innego niż wymienione powyżej (na przykład 40 miesięcy lub 55 miesięcy), Zamawiający przyzna punkty za najbliższą niższą wartość określoną w punktacji (na przykład za 40 miesięcy Wykonawca otrzyma 0,00 pkt, za 55 miesięcy otrzyma 20,00 pkt). - Maksymalny punktowany okres gwarancji wynosi 60 miesięcy. W przypadku zaoferowania okresu dłuższego Zamawiający przyjmie do oceny ofert okres 60 miesięcy. - Gwarancja musi obejmować cały zakres przedmiotowy zamówienia. 3. Punktacja przyznawana ofertom w poszczególnych kryteriach będzie liczona z dokładnością do dwóch miejsc po przecinku. Najwyższa liczba punktów wyznaczy najkorzystniejszą ofertę. Łączna punktacja Wykonawcy będzie obejmować sumę punktów uzyskanych w kryteriach A i B. 4. W przypadku, gdy Zamawiający </w:t>
      </w:r>
      <w:r w:rsidRPr="00C167DC">
        <w:rPr>
          <w:rFonts w:ascii="Arial" w:hAnsi="Arial" w:cs="Arial"/>
          <w:sz w:val="24"/>
          <w:szCs w:val="24"/>
        </w:rPr>
        <w:lastRenderedPageBreak/>
        <w:t xml:space="preserve">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 </w:t>
      </w:r>
    </w:p>
    <w:p w14:paraId="4FF19F5E"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4.3.2.) Sposób określania wagi kryteriów oceny ofert:</w:t>
      </w:r>
      <w:r w:rsidR="00B066C9" w:rsidRPr="00C167DC">
        <w:rPr>
          <w:rFonts w:ascii="Arial" w:hAnsi="Arial" w:cs="Arial"/>
          <w:sz w:val="24"/>
          <w:szCs w:val="24"/>
        </w:rPr>
        <w:t xml:space="preserve"> </w:t>
      </w:r>
      <w:r w:rsidRPr="00C167DC">
        <w:rPr>
          <w:rFonts w:ascii="Arial" w:hAnsi="Arial" w:cs="Arial"/>
          <w:sz w:val="24"/>
          <w:szCs w:val="24"/>
        </w:rPr>
        <w:t xml:space="preserve">Procentowo </w:t>
      </w:r>
    </w:p>
    <w:p w14:paraId="3CDEB674"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4.3.3.) Stosowane kryteria oceny ofert:</w:t>
      </w:r>
      <w:r w:rsidR="00B066C9" w:rsidRPr="00C167DC">
        <w:rPr>
          <w:rFonts w:ascii="Arial" w:hAnsi="Arial" w:cs="Arial"/>
          <w:sz w:val="24"/>
          <w:szCs w:val="24"/>
        </w:rPr>
        <w:t xml:space="preserve"> </w:t>
      </w:r>
      <w:r w:rsidRPr="00C167DC">
        <w:rPr>
          <w:rFonts w:ascii="Arial" w:hAnsi="Arial" w:cs="Arial"/>
          <w:sz w:val="24"/>
          <w:szCs w:val="24"/>
        </w:rPr>
        <w:t xml:space="preserve">Kryterium ceny oraz kryteria jakościowe Kryterium 1 </w:t>
      </w:r>
    </w:p>
    <w:p w14:paraId="6FD50A43"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4.3.5.) Nazwa kryterium: Cena </w:t>
      </w:r>
    </w:p>
    <w:p w14:paraId="6A050947"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4.3.6.) Waga: 60,00 </w:t>
      </w:r>
    </w:p>
    <w:p w14:paraId="20FBF72A"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Kryterium 2 </w:t>
      </w:r>
    </w:p>
    <w:p w14:paraId="7ADE65D5"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4.3.4.) Rodzaj kryterium: inne. </w:t>
      </w:r>
    </w:p>
    <w:p w14:paraId="26A4F2FC"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4.3.5.) Nazwa kryterium: Okres gwarancji </w:t>
      </w:r>
    </w:p>
    <w:p w14:paraId="2A12E87F"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4.3.6.) Waga: 40,00 </w:t>
      </w:r>
    </w:p>
    <w:p w14:paraId="425F4644"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4.3.10.) Zamawiający określa aspekty społeczne, środowiskowe lub innowacyjne, żąda etykiet lub stosuje rachunek kosztów cyklu życia w odniesieniu do kryterium oceny ofert: Nie </w:t>
      </w:r>
    </w:p>
    <w:p w14:paraId="0C4FD479"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V - KWALIFIKACJA WYKONAWCÓW </w:t>
      </w:r>
    </w:p>
    <w:p w14:paraId="4EBBAD86"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5.1.) Zamawiający przewiduje fakultatywne podstawy wykluczenia: Nie </w:t>
      </w:r>
    </w:p>
    <w:p w14:paraId="4B0F1B8B"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5.3.) Warunki udziału w postępowaniu: Tak </w:t>
      </w:r>
    </w:p>
    <w:p w14:paraId="2F73EF3F"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5.4.) Nazwa i opis warunków udziału w postępowaniu. </w:t>
      </w:r>
    </w:p>
    <w:p w14:paraId="682AE31B"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1. O udzielenie zamówienia mogą ubiegać się Wykonawcy, którzy spełniają warunki dotyczące zdolności technicznej lub zawodowej. </w:t>
      </w:r>
    </w:p>
    <w:p w14:paraId="47E82029" w14:textId="45EAC0D2"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2. Wykonawca spełni warunek, jeżeli wykaże, że w okresie ostatnich 5 lat przed upływem terminu składania ofert, a jeżeli okres prowadzonej działalności jest krótszy, to w tym okresie, wykonał należycie: 2.1. Co najmniej jedną robotę budowlaną polegającą na budowie, przebudowie lub remoncie budynku o wartości nie mniejszej niż 200 000,00 zł brutto, oraz 2.2. Co najmniej jedną robotę budowlaną polegającą na wykonaniu robót instalacyjnych elektrycznych w budynku o wartości tych robót nie mniejszej niż 80 000,00 zł brutto. Zamawiający dopuszcza, aby powyższe doświadczenie, którego dotyczą warunki określone w pkt. 2.1. i 2.2. zostało wykazane w ramach tego samego kontraktu lub odrębnych kontraktów. Jeśli wartości zostaną podane w walutach innych niż PLN, Zamawiający przyjmie średni kurs PLN </w:t>
      </w:r>
      <w:r w:rsidRPr="00C167DC">
        <w:rPr>
          <w:rFonts w:ascii="Arial" w:hAnsi="Arial" w:cs="Arial"/>
          <w:sz w:val="24"/>
          <w:szCs w:val="24"/>
        </w:rPr>
        <w:lastRenderedPageBreak/>
        <w:t xml:space="preserve">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75937BC3"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3. W przypadku Wykonawców wspólnie ubiegających się o udzielenie zamówienia oraz w przypadku powoływania się przez Wykonawcę na potencjał innych podmiotów: 3.1. Warunek, o którym mowa w pkt. 2.1.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3.2. Warunek, o którym mowa w pkt. 2.2.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w:t>
      </w:r>
    </w:p>
    <w:p w14:paraId="3AA19E29"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4. Zasady polegania na zasobach innych podmiotów (podmiotów trzecich) w celu wykazania spełniania warunku udziału w postępowaniu: 4.1. Wykonawca może w celu potwierdzenia spełniania warunków udziału w postępowaniu, w stosownych sytuacjach, polegać na zdolnościach technicznych lub zawodowych podmiotów udostępniających zasoby, niezależnie od charakteru prawnego łączących go z nimi stosunków prawnych. 4.2. W odniesieniu do warunku doświadczenia Wykonawca może polegać na zdolnościach podmiotów udostępniających zasoby, jeśli podmioty te wykonają roboty budowlane do realizacji których te zdolności są wymagane. 4.3. 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4.4. Zobowiązanie podmiotu udostępniającego zasoby potwierdza, że stosunek łączący </w:t>
      </w:r>
      <w:r w:rsidRPr="00C167DC">
        <w:rPr>
          <w:rFonts w:ascii="Arial" w:hAnsi="Arial" w:cs="Arial"/>
          <w:sz w:val="24"/>
          <w:szCs w:val="24"/>
        </w:rPr>
        <w:lastRenderedPageBreak/>
        <w:t xml:space="preserve">Wykonawcę z podmiotami udostępniającymi zasoby gwarantuje rzeczywisty dostęp do tych zasobów oraz określa w szczególności: zakres dostępnych Wykonawcy zasobów podmiotu udostępniającego zasoby, 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doświadczenia, zrealizuje roboty budowlane, których wskazane zdolności dotyczą. 4.5. Jeżeli zdolności techniczne lub zawodowe nie potwierdzają spełniania przez Wykonawcę warunków udziału w postępowaniu lub zachodzą wobec tego podmiotu podstawy wykluczenia, zamawiający żąda, aby Wykonawca w terminie określonym przez zamawiającego zastąpił ten podmiot innym podmiotem albo wykazał, że samodzielnie spełnia warunki udziału w postępowaniu. 4.6. Wykonawca nie może, po upływie terminu składania ofert, powoływać się na zdolności podmiotów udostępniających zasoby, jeżeli na etapie składania ofert nie polegał on w danym zakresie na zdolnościach podmiotów udostępniających zasoby. </w:t>
      </w:r>
    </w:p>
    <w:p w14:paraId="7B9F7C62"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5.5.) Zamawiający wymaga złożenia oświadczenia, o którym mowa w art.125 ust. 1 ustawy:</w:t>
      </w:r>
      <w:r w:rsidR="00B066C9" w:rsidRPr="00C167DC">
        <w:rPr>
          <w:rFonts w:ascii="Arial" w:hAnsi="Arial" w:cs="Arial"/>
          <w:sz w:val="24"/>
          <w:szCs w:val="24"/>
        </w:rPr>
        <w:t xml:space="preserve"> </w:t>
      </w:r>
      <w:r w:rsidRPr="00C167DC">
        <w:rPr>
          <w:rFonts w:ascii="Arial" w:hAnsi="Arial" w:cs="Arial"/>
          <w:sz w:val="24"/>
          <w:szCs w:val="24"/>
        </w:rPr>
        <w:t xml:space="preserve">Tak </w:t>
      </w:r>
    </w:p>
    <w:p w14:paraId="644050D6"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5.7.) Wykaz podmiotowych środków dowodowych na potwierdzenie spełniania warunków udziału w postępowaniu: 1. Zamawiający wezwie Wykonawcę, którego oferta zostanie najwyżej oceniona, do złożenia w wyznaczonym terminie, nie krótszym niż 5 dni od dnia wezwania, następujących podmiotowych środków dowodowych (aktualnych na dzień ich złożenia), tj. wykaz robót budowlanych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2. Jeżeli Wykonawca powołuje się na doświadczenie w realizacji robót budowlanych wykonywanych wspólnie z innymi Wykonawcami, </w:t>
      </w:r>
      <w:r w:rsidRPr="00C167DC">
        <w:rPr>
          <w:rFonts w:ascii="Arial" w:hAnsi="Arial" w:cs="Arial"/>
          <w:sz w:val="24"/>
          <w:szCs w:val="24"/>
        </w:rPr>
        <w:lastRenderedPageBreak/>
        <w:t xml:space="preserve">wykaz, o którym mowa w ust. 1 dotyczy robót budowlanych, w których wykonaniu Wykonawca ten bezpośrednio uczestniczył. 3. Dokumenty wskazane w ust. 1 składa się w formie elektronicznej, w postaci elektronicznej opatrzonej podpisem zaufanym lub podpisem osobistym. </w:t>
      </w:r>
    </w:p>
    <w:p w14:paraId="670CBC25"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5.11.) Wykaz innych wymaganych oświadczeń lub dokumentów: 1. W terminie składania ofert należy złożyć: 1.1. ofertę, 1.2. pełnomocnictwo do złożenia oferty, o ile oferta zostanie złożona przez pełnomocnika, 1.3. pełnomocnictwo dla pełnomocnika ustanowionego przez Wykonawców wspólnie ubiegających się o udzielenie zamówienia, jeżeli Wykonawcy składają ofertę wspólnie, 1.4.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1.5. oświadczenie o niepodleganiu wykluczeniu i spełnianiu warunków udziału w postępowaniu. 2. W przypadku wspólnego ubiegania się o zamówienie przez Wykonawców, oświadczenie, o którym mowa pkt 1.5, składa każdy z Wykonawców. Oświadczenia te potwierdzają brak podstaw wykluczenia oraz spełnianie warunków udziału w postępowaniu w zakresie, w jakim każdy z Wykonawców wykazuje spełnianie warunków udziału w postępowaniu. Wykonawcy wspólnie ubiegający się o zamówienie wskażą w ofercie zakresy zamówienia, które będą realizowane przez poszczególnych Wykonawców. 3. Wykonawca, w przypadku polegania na zdolnościach lub sytuacji podmiotów udostępniających zasoby, przedstawia, wraz z oświadczeniem, o którym mowa pkt 1.5., także oświadczenie podmiotu udostępniającego zasoby, potwierdzające brak podstaw wykluczenia tego podmiotu oraz odpowiednio spełnianie warunków udziału w postępowaniu, w zakresie, w jakim Wykonawca powołuje się na jego zasoby. 4. W celu potwierdzenia, że osoba działająca w imieniu Wykonawcy jest umocowana do jego reprezentowania Wykonawca (jeśli dotyczy) przedstawia odpis lub informację z Krajowego Rejestru Sądowego, Centralnej Ewidencji i Informacji o Działalności Gospodarczej lub innego właściwego rejestru lub odpowiednio dokumenty rejestrowe kraju, w którym Wykonawca ma siedzibę lub miejsce zamieszkania lub wskazuje w ofercie dane bezpłatnych i ogólnodostępnych baz danych, umożliwiające dostęp do nich. 5. Jeżeli w imieniu Wykonawcy działa osoba, której umocowanie do jego reprezentowania nie </w:t>
      </w:r>
      <w:r w:rsidRPr="00C167DC">
        <w:rPr>
          <w:rFonts w:ascii="Arial" w:hAnsi="Arial" w:cs="Arial"/>
          <w:sz w:val="24"/>
          <w:szCs w:val="24"/>
        </w:rPr>
        <w:lastRenderedPageBreak/>
        <w:t xml:space="preserve">wynika z dokumentów, o których mowa w ust. 4 należy złożyć pełnomocnictwo lub inny dokument potwierdzający umocowanie o reprezentowania Wykonawcy. 6. Wykonawca nie jest zobowiązany do złożenia dokumentów, o których mowa w ust. 4, jeżeli Zamawiający może je uzyskać za pomocą bezpłatnych i ogólnodostępnych baz danych, o ile Wykonawca wskazał dane umożliwiające dostęp do tych dokumentów. W przypadku wskazania przez Wykonawcę dostępności dokumentów, o których mowa powyżej, pod określonymi adresami internetowymi ogólnodostępnych i bezpłatnych baz danych, zamawiający może żądać od Wykonawcy przedstawienia tłumaczenia na język polski pobranych samodzielnie przez zamawiającego dokumentów. 7. Pełnomocnictwo przekazuje się w postaci elektronicznej i opatruje się kwalifikowanym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 8. Zapisy ust. 4 -7 stosuje się odpowiednio do osoby działającej w imieniu podmiotu udostępniającego zasoby na zasadach określonych w art. 118 ustawy </w:t>
      </w:r>
      <w:proofErr w:type="spellStart"/>
      <w:r w:rsidRPr="00C167DC">
        <w:rPr>
          <w:rFonts w:ascii="Arial" w:hAnsi="Arial" w:cs="Arial"/>
          <w:sz w:val="24"/>
          <w:szCs w:val="24"/>
        </w:rPr>
        <w:t>pzp</w:t>
      </w:r>
      <w:proofErr w:type="spellEnd"/>
      <w:r w:rsidRPr="00C167DC">
        <w:rPr>
          <w:rFonts w:ascii="Arial" w:hAnsi="Arial" w:cs="Arial"/>
          <w:sz w:val="24"/>
          <w:szCs w:val="24"/>
        </w:rPr>
        <w:t xml:space="preserve">. </w:t>
      </w:r>
    </w:p>
    <w:p w14:paraId="416193E1"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VI - WARUNKI ZAMÓWIENIA </w:t>
      </w:r>
    </w:p>
    <w:p w14:paraId="6E55B2DA"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6.1.) Zamawiający wymaga albo dopuszcza oferty wariantowe: Nie </w:t>
      </w:r>
    </w:p>
    <w:p w14:paraId="74694B94"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6.3.) Zamawiający przewiduje aukcję elektroniczną: Nie 6.4.) Zamawiający wymaga wadium: Nie </w:t>
      </w:r>
    </w:p>
    <w:p w14:paraId="4387C7BF"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6.5.) Zamawiający wymaga zabezpieczenia należytego wykonania umowy: Tak </w:t>
      </w:r>
    </w:p>
    <w:p w14:paraId="3BDEBF08"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6.6.) Wymagania dotyczące składania oferty przez wykonawców wspólnie ubiegających się o udzielenie zamówienia: 1. Wykonawcy mogą wspólnie ubiegać się o udzielenie zamówienia. W takim przypadku ustanawiają pełnomocnika do reprezentowania ich w postępowaniu albo do reprezentowania i zawarcia umowy w sprawie zamówienia publicznego. 2. W przypadku składania oferty przez Wykonawców występujących wspólnie w formularzu ofertowym należy zaznaczyć, że </w:t>
      </w:r>
      <w:r w:rsidRPr="00C167DC">
        <w:rPr>
          <w:rFonts w:ascii="Arial" w:hAnsi="Arial" w:cs="Arial"/>
          <w:sz w:val="24"/>
          <w:szCs w:val="24"/>
        </w:rPr>
        <w:lastRenderedPageBreak/>
        <w:t xml:space="preserve">oferta składana jest przez Wykonawców wspólnie ubiegających się o zamówienie, wymienić dane wszystkich Wykonawców występujących wspólnie oraz wskazać Pełnomocnika do ich reprezentowania wraz z załączeniem pełnomocnictwa. 3. Oświadczenie o niepodleganiu wykluczeniu i o spełnianiu warunków udziału w postępowaniu składa każdy z tych Wykonawców. Oświadczenia te potwierdzają brak podstaw wykluczenia oraz spełnianie warunków udziału w postępowaniu w zakresie, w jakim każdy z Wykonawców wykazuje spełnianie warunków udziału w postępowaniu. 4. Spełnianie warunków udziału w postępowaniu. 4.1. Wykonawca spełni warunek, jeżeli wykaże, że w okresie ostatnich 5 lat przed upływem terminu składania ofert, a jeżeli okres prowadzonej działalności jest krótszy, to w tym okresie, wykonał należycie: 4.1.1. Co najmniej jedną robotę budowlaną polegającą na budowie, przebudowie lub remoncie budynku o wartości nie mniejszej niż 200 000,00 zł brutto, oraz 4.1.2. Co najmniej jedną robotę budowlaną polegającą na wykonaniu robót instalacyjnych elektrycznych w budynku o wartości tych robót nie mniejszej niż 80 000,00 zł brutto. Zamawiający dopuszcza, aby powyższe doświadczenie, którego dotyczą warunki określone w pkt. 4.1.1. i 4.1.2. zostało wykazane w ramach tego samego kontraktu lub odrębnych kontraktów. Jeśli wartości zostaną podane w walutach innych niż PLN, Zamawiający przyjmie średni kurs PLN do tej waluty podawany przez NBP na dzień opublikowania ogłoszenia o zamówieniu w Biuletynie Zamówień Publicznych. Jeżeli w dniu publikacji </w:t>
      </w:r>
      <w:r w:rsidR="00B066C9" w:rsidRPr="00C167DC">
        <w:rPr>
          <w:rFonts w:ascii="Arial" w:hAnsi="Arial" w:cs="Arial"/>
          <w:sz w:val="24"/>
          <w:szCs w:val="24"/>
        </w:rPr>
        <w:t xml:space="preserve">ogłoszenia o zamówieniu, </w:t>
      </w:r>
      <w:r w:rsidRPr="00C167DC">
        <w:rPr>
          <w:rFonts w:ascii="Arial" w:hAnsi="Arial" w:cs="Arial"/>
          <w:sz w:val="24"/>
          <w:szCs w:val="24"/>
        </w:rPr>
        <w:t xml:space="preserve">Narodowy Bank Polski nie publikuje średniego kursu danej waluty, za podstawę przeliczenia przyjmuje się średni kurs waluty publikowany pierwszego dnia, po dniu publikacji ogłoszenia o zamówieniu w Biuletynie Zamówień Publicznych, w którym zostanie on opublikowany. 3. W przypadku Wykonawców wspólnie ubiegających się o udzielenie zamówienia oraz w przypadku powoływania się przez Wykonawcę na potencjał innych podmiotów: 3.1. Warunek, o którym mowa w pkt. 4.1.1. musi spełnić w całości co najmniej jeden z Wykonawców wspólnie ubiegających się o udzielenie zamówienia lub podmiot, na którego potencjale polega Wykonawca przy czym, Zamawiający dopuszcza, aby powyższe doświadczenie, którego dotyczą warunki określone w pkt. 4.1.1. i 4.1.2. zostało wykazane w ramach tego samego kontraktu lub odrębnych kontraktów. 3.2. Warunek, o którym mowa w pkt. 4.1.2. musi spełnić w całości co najmniej jeden z Wykonawców wspólnie ubiegających się o udzielenie zamówienia lub podmiot, na którego potencjale polega Wykonawca, przy czym, </w:t>
      </w:r>
      <w:r w:rsidRPr="00C167DC">
        <w:rPr>
          <w:rFonts w:ascii="Arial" w:hAnsi="Arial" w:cs="Arial"/>
          <w:sz w:val="24"/>
          <w:szCs w:val="24"/>
        </w:rPr>
        <w:lastRenderedPageBreak/>
        <w:t xml:space="preserve">Zamawiający dopuszcza, aby powyższe doświadczenie, którego dotyczą warunki określone w pkt. 4.1.1. i 4.1.2. zostało wykazane w ramach tego samego kontraktu lub odrębnych kontraktów. 6.7.) Zamawiający przewiduje unieważnienie postępowania, jeśli środki publiczne, które zamierzał przeznaczyć na sfinansowanie całości lub części zamówienia nie zostały przyznane: Nie </w:t>
      </w:r>
    </w:p>
    <w:p w14:paraId="793817F9"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VII - PROJEKTOWANE POSTANOWIENIA UMOWY </w:t>
      </w:r>
    </w:p>
    <w:p w14:paraId="30A0632E"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7.1.) Zamawiający przewiduje udzielenia zaliczek: Nie </w:t>
      </w:r>
    </w:p>
    <w:p w14:paraId="5341B6FF"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7.3.) Zamawiający przewiduje zmiany umowy: Tak </w:t>
      </w:r>
    </w:p>
    <w:p w14:paraId="40436A7D"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7.4.) Rodzaj i zakres zmian umowy oraz warunki ich wprowadzenia: Ze względu na ograniczoną liczbę znaków niniejszego pola (maksymalna długość pola 4000) Zamawiający określa rodzaj i zakres zmian umowy oraz warunki ich wprowadzenia w Załączniku nr 1 do SWZ udostępnionym na stronie prowadzonego postępowania. 7.5.) Zamawiający uwzględnił aspekty społeczne, środowiskowe, innowacyjne lub etykiety związane z realizacją zamówienia: Tak </w:t>
      </w:r>
    </w:p>
    <w:p w14:paraId="74EC4EC8"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7.6.) Zamawiający przewiduje następujące wymagania związane z realizacją zamówienia: w zakresie zatrudnienia na podstawie stosunku pracy, w okolicznościach, o których mowa w art. 95 ustawy </w:t>
      </w:r>
    </w:p>
    <w:p w14:paraId="4FD01EA2"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SEKCJA VIII – PROCEDURA </w:t>
      </w:r>
    </w:p>
    <w:p w14:paraId="2EBA9169"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8.1.) Termin składania ofert: 2026-03-09 10:00 </w:t>
      </w:r>
    </w:p>
    <w:p w14:paraId="4EB7552B"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8.2.) Miejsce składania ofert: Wykonawca składa ofertę za pośrednictwem Platformy e-Zamówienia. </w:t>
      </w:r>
    </w:p>
    <w:p w14:paraId="608E0131"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8.3.) Termin otwarcia ofert: 2026-03-09 10:15 </w:t>
      </w:r>
    </w:p>
    <w:p w14:paraId="73AD3A35"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8.4.) Termin związania ofertą: do 2026-04-07 8.5.) Zamawiający przewiduje wybór najkorzystniejszej oferty z możliwością negocjacji:</w:t>
      </w:r>
      <w:r w:rsidR="00B066C9" w:rsidRPr="00C167DC">
        <w:rPr>
          <w:rFonts w:ascii="Arial" w:hAnsi="Arial" w:cs="Arial"/>
          <w:sz w:val="24"/>
          <w:szCs w:val="24"/>
        </w:rPr>
        <w:t xml:space="preserve"> </w:t>
      </w:r>
      <w:r w:rsidRPr="00C167DC">
        <w:rPr>
          <w:rFonts w:ascii="Arial" w:hAnsi="Arial" w:cs="Arial"/>
          <w:sz w:val="24"/>
          <w:szCs w:val="24"/>
        </w:rPr>
        <w:t xml:space="preserve">Tak </w:t>
      </w:r>
    </w:p>
    <w:p w14:paraId="06CDD9DD" w14:textId="77777777" w:rsidR="00B066C9" w:rsidRPr="00C167DC" w:rsidRDefault="00662545" w:rsidP="00662545">
      <w:pPr>
        <w:spacing w:after="0" w:line="360" w:lineRule="auto"/>
        <w:rPr>
          <w:rFonts w:ascii="Arial" w:hAnsi="Arial" w:cs="Arial"/>
          <w:sz w:val="24"/>
          <w:szCs w:val="24"/>
        </w:rPr>
      </w:pPr>
      <w:r w:rsidRPr="00C167DC">
        <w:rPr>
          <w:rFonts w:ascii="Arial" w:hAnsi="Arial" w:cs="Arial"/>
          <w:sz w:val="24"/>
          <w:szCs w:val="24"/>
        </w:rPr>
        <w:t xml:space="preserve">8.7) Kryteria oceny ofert, które zamawiający zamierza stosować w celu ograniczenia liczby wykonawców: Zamawiający nie przewiduje możliwości ograniczenia liczby Wykonawców, których zaprosi do negocjacji ofert. </w:t>
      </w:r>
    </w:p>
    <w:p w14:paraId="698FAC05" w14:textId="222BA2F1" w:rsidR="00CB035B" w:rsidRPr="00C167DC" w:rsidRDefault="00662545" w:rsidP="00662545">
      <w:pPr>
        <w:spacing w:after="0" w:line="360" w:lineRule="auto"/>
        <w:rPr>
          <w:rFonts w:ascii="Arial" w:hAnsi="Arial" w:cs="Arial"/>
          <w:sz w:val="24"/>
          <w:szCs w:val="24"/>
        </w:rPr>
      </w:pPr>
      <w:r w:rsidRPr="00C167DC">
        <w:rPr>
          <w:rFonts w:ascii="Arial" w:hAnsi="Arial" w:cs="Arial"/>
          <w:sz w:val="24"/>
          <w:szCs w:val="24"/>
        </w:rPr>
        <w:t>SEKCJA IX – POZOSTAŁE INFORMACJE 1. Oprócz podstaw wykluczenia Wykonawców określonych w art. 108 ust. 1 ustawy Prawo zamówień publicznych Zamawiający przewiduje również wykluczenie na podstawie przesłanek określonych w art. 7 ust. 1 ustawy z dnia 13 kwietnia 2022 roku o szczególnych rozwiązaniach w zakresie przeciwdziałania wspieraniu agresji na Ukrainę oraz służących ochronie bezpieczeństwa narodowego (</w:t>
      </w:r>
      <w:proofErr w:type="spellStart"/>
      <w:r w:rsidRPr="00C167DC">
        <w:rPr>
          <w:rFonts w:ascii="Arial" w:hAnsi="Arial" w:cs="Arial"/>
          <w:sz w:val="24"/>
          <w:szCs w:val="24"/>
        </w:rPr>
        <w:t>t.j</w:t>
      </w:r>
      <w:proofErr w:type="spellEnd"/>
      <w:r w:rsidRPr="00C167DC">
        <w:rPr>
          <w:rFonts w:ascii="Arial" w:hAnsi="Arial" w:cs="Arial"/>
          <w:sz w:val="24"/>
          <w:szCs w:val="24"/>
        </w:rPr>
        <w:t xml:space="preserve">. Dz. U. z 2025 r. poz. 514). 2. Postanowienia </w:t>
      </w:r>
      <w:r w:rsidRPr="00C167DC">
        <w:rPr>
          <w:rFonts w:ascii="Arial" w:hAnsi="Arial" w:cs="Arial"/>
          <w:sz w:val="24"/>
          <w:szCs w:val="24"/>
        </w:rPr>
        <w:lastRenderedPageBreak/>
        <w:t xml:space="preserve">niniejszego ogłoszenia dotyczą również Wykonawców mających siedzibę lub miejsce zamieszkania poza terytorium Rzeczypospolitej Polskiej. </w:t>
      </w:r>
    </w:p>
    <w:p w14:paraId="26AE5A8F" w14:textId="77777777" w:rsidR="00B066C9" w:rsidRPr="00C167DC" w:rsidRDefault="00B066C9" w:rsidP="00662545">
      <w:pPr>
        <w:spacing w:after="0" w:line="360" w:lineRule="auto"/>
        <w:rPr>
          <w:rFonts w:ascii="Arial" w:hAnsi="Arial" w:cs="Arial"/>
          <w:sz w:val="24"/>
          <w:szCs w:val="24"/>
        </w:rPr>
      </w:pPr>
    </w:p>
    <w:sectPr w:rsidR="00B066C9" w:rsidRPr="00C167D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3438" w14:textId="77777777" w:rsidR="00ED50B4" w:rsidRDefault="00ED50B4" w:rsidP="00662545">
      <w:pPr>
        <w:spacing w:after="0" w:line="240" w:lineRule="auto"/>
      </w:pPr>
      <w:r>
        <w:separator/>
      </w:r>
    </w:p>
  </w:endnote>
  <w:endnote w:type="continuationSeparator" w:id="0">
    <w:p w14:paraId="33D1BB67" w14:textId="77777777" w:rsidR="00ED50B4" w:rsidRDefault="00ED50B4" w:rsidP="00662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8231779"/>
      <w:docPartObj>
        <w:docPartGallery w:val="Page Numbers (Bottom of Page)"/>
        <w:docPartUnique/>
      </w:docPartObj>
    </w:sdtPr>
    <w:sdtContent>
      <w:p w14:paraId="0804F3D2" w14:textId="2D113E53" w:rsidR="00662545" w:rsidRDefault="00662545">
        <w:pPr>
          <w:pStyle w:val="Stopka"/>
          <w:jc w:val="right"/>
        </w:pPr>
        <w:r>
          <w:fldChar w:fldCharType="begin"/>
        </w:r>
        <w:r>
          <w:instrText>PAGE   \* MERGEFORMAT</w:instrText>
        </w:r>
        <w:r>
          <w:fldChar w:fldCharType="separate"/>
        </w:r>
        <w:r>
          <w:t>2</w:t>
        </w:r>
        <w:r>
          <w:fldChar w:fldCharType="end"/>
        </w:r>
      </w:p>
    </w:sdtContent>
  </w:sdt>
  <w:p w14:paraId="69BA169A" w14:textId="77777777" w:rsidR="00662545" w:rsidRDefault="006625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4F8ED" w14:textId="77777777" w:rsidR="00ED50B4" w:rsidRDefault="00ED50B4" w:rsidP="00662545">
      <w:pPr>
        <w:spacing w:after="0" w:line="240" w:lineRule="auto"/>
      </w:pPr>
      <w:r>
        <w:separator/>
      </w:r>
    </w:p>
  </w:footnote>
  <w:footnote w:type="continuationSeparator" w:id="0">
    <w:p w14:paraId="57D76D17" w14:textId="77777777" w:rsidR="00ED50B4" w:rsidRDefault="00ED50B4" w:rsidP="00662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08126" w14:textId="08169A18" w:rsidR="002D7DD8" w:rsidRDefault="002D7DD8">
    <w:pPr>
      <w:pStyle w:val="Nagwek"/>
    </w:pPr>
    <w:r w:rsidRPr="00F82F80">
      <w:rPr>
        <w:noProof/>
      </w:rPr>
      <w:drawing>
        <wp:inline distT="0" distB="0" distL="0" distR="0" wp14:anchorId="66223C18" wp14:editId="34D45FDB">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54F7"/>
    <w:multiLevelType w:val="multilevel"/>
    <w:tmpl w:val="76922C68"/>
    <w:lvl w:ilvl="0">
      <w:start w:val="1"/>
      <w:numFmt w:val="decimal"/>
      <w:lvlText w:val="%1."/>
      <w:lvlJc w:val="left"/>
      <w:pPr>
        <w:ind w:left="720" w:hanging="360"/>
      </w:pPr>
      <w:rPr>
        <w:b w:val="0"/>
        <w:bCs w:val="0"/>
        <w:sz w:val="24"/>
        <w:szCs w:val="24"/>
      </w:rPr>
    </w:lvl>
    <w:lvl w:ilvl="1">
      <w:start w:val="1"/>
      <w:numFmt w:val="decimal"/>
      <w:isLgl/>
      <w:lvlText w:val="%1.%2."/>
      <w:lvlJc w:val="left"/>
      <w:pPr>
        <w:ind w:left="360" w:hanging="360"/>
      </w:pPr>
      <w:rPr>
        <w:rFonts w:ascii="Arial" w:hAnsi="Arial" w:cs="Arial" w:hint="default"/>
        <w:b w:val="0"/>
        <w:bCs w:val="0"/>
        <w:sz w:val="24"/>
        <w:szCs w:val="24"/>
      </w:rPr>
    </w:lvl>
    <w:lvl w:ilvl="2">
      <w:start w:val="1"/>
      <w:numFmt w:val="decimal"/>
      <w:isLgl/>
      <w:lvlText w:val="%1.%2.%3."/>
      <w:lvlJc w:val="left"/>
      <w:pPr>
        <w:ind w:left="1440" w:hanging="360"/>
      </w:pPr>
    </w:lvl>
    <w:lvl w:ilvl="3">
      <w:start w:val="1"/>
      <w:numFmt w:val="decimal"/>
      <w:isLgl/>
      <w:lvlText w:val="%1.%2.%3.%4."/>
      <w:lvlJc w:val="left"/>
      <w:pPr>
        <w:ind w:left="2160" w:hanging="720"/>
      </w:pPr>
    </w:lvl>
    <w:lvl w:ilvl="4">
      <w:start w:val="1"/>
      <w:numFmt w:val="decimal"/>
      <w:isLgl/>
      <w:lvlText w:val="%1.%2.%3.%4.%5."/>
      <w:lvlJc w:val="left"/>
      <w:pPr>
        <w:ind w:left="2520" w:hanging="720"/>
      </w:pPr>
    </w:lvl>
    <w:lvl w:ilvl="5">
      <w:start w:val="1"/>
      <w:numFmt w:val="decimal"/>
      <w:isLgl/>
      <w:lvlText w:val="%1.%2.%3.%4.%5.%6."/>
      <w:lvlJc w:val="left"/>
      <w:pPr>
        <w:ind w:left="2880" w:hanging="720"/>
      </w:pPr>
    </w:lvl>
    <w:lvl w:ilvl="6">
      <w:start w:val="1"/>
      <w:numFmt w:val="decimal"/>
      <w:isLgl/>
      <w:lvlText w:val="%1.%2.%3.%4.%5.%6.%7."/>
      <w:lvlJc w:val="left"/>
      <w:pPr>
        <w:ind w:left="3600" w:hanging="1080"/>
      </w:pPr>
    </w:lvl>
    <w:lvl w:ilvl="7">
      <w:start w:val="1"/>
      <w:numFmt w:val="decimal"/>
      <w:isLgl/>
      <w:lvlText w:val="%1.%2.%3.%4.%5.%6.%7.%8."/>
      <w:lvlJc w:val="left"/>
      <w:pPr>
        <w:ind w:left="3960" w:hanging="1080"/>
      </w:pPr>
    </w:lvl>
    <w:lvl w:ilvl="8">
      <w:start w:val="1"/>
      <w:numFmt w:val="decimal"/>
      <w:isLgl/>
      <w:lvlText w:val="%1.%2.%3.%4.%5.%6.%7.%8.%9."/>
      <w:lvlJc w:val="left"/>
      <w:pPr>
        <w:ind w:left="4320" w:hanging="1080"/>
      </w:pPr>
    </w:lvl>
  </w:abstractNum>
  <w:abstractNum w:abstractNumId="1" w15:restartNumberingAfterBreak="0">
    <w:nsid w:val="63FF7288"/>
    <w:multiLevelType w:val="hybridMultilevel"/>
    <w:tmpl w:val="578AD6B4"/>
    <w:lvl w:ilvl="0" w:tplc="5824B73E">
      <w:start w:val="19"/>
      <w:numFmt w:val="upperRoman"/>
      <w:pStyle w:val="Styl1"/>
      <w:lvlText w:val="%1."/>
      <w:lvlJc w:val="left"/>
      <w:pPr>
        <w:ind w:left="1800" w:hanging="720"/>
      </w:pPr>
      <w:rPr>
        <w:rFonts w:ascii="Arial" w:hAnsi="Arial" w:cs="Arial" w:hint="default"/>
        <w:b/>
        <w:bCs w:val="0"/>
        <w:sz w:val="24"/>
        <w:szCs w:val="24"/>
      </w:rPr>
    </w:lvl>
    <w:lvl w:ilvl="1" w:tplc="67BC24C4">
      <w:start w:val="1"/>
      <w:numFmt w:val="decimal"/>
      <w:lvlText w:val="%2."/>
      <w:lvlJc w:val="left"/>
      <w:pPr>
        <w:ind w:left="360" w:hanging="360"/>
      </w:pPr>
      <w:rPr>
        <w:rFonts w:ascii="Arial" w:eastAsiaTheme="minorHAnsi" w:hAnsi="Arial" w:cs="Arial"/>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104263171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828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61"/>
    <w:rsid w:val="001B45D6"/>
    <w:rsid w:val="002D7DD8"/>
    <w:rsid w:val="00662545"/>
    <w:rsid w:val="00834DB6"/>
    <w:rsid w:val="00B066C9"/>
    <w:rsid w:val="00C167DC"/>
    <w:rsid w:val="00C64161"/>
    <w:rsid w:val="00CB035B"/>
    <w:rsid w:val="00ED50B4"/>
    <w:rsid w:val="00FE3D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8EBB"/>
  <w15:chartTrackingRefBased/>
  <w15:docId w15:val="{940996F9-2F7C-435D-BCE6-B90C317AC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2545"/>
    <w:pPr>
      <w:spacing w:line="256" w:lineRule="auto"/>
    </w:pPr>
    <w:rPr>
      <w:kern w:val="0"/>
      <w14:ligatures w14:val="none"/>
    </w:rPr>
  </w:style>
  <w:style w:type="paragraph" w:styleId="Nagwek1">
    <w:name w:val="heading 1"/>
    <w:basedOn w:val="Normalny"/>
    <w:next w:val="Normalny"/>
    <w:link w:val="Nagwek1Znak"/>
    <w:uiPriority w:val="9"/>
    <w:qFormat/>
    <w:rsid w:val="00C641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641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6416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6416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6416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6416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416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416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416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416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6416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6416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6416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6416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6416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416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416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4161"/>
    <w:rPr>
      <w:rFonts w:eastAsiaTheme="majorEastAsia" w:cstheme="majorBidi"/>
      <w:color w:val="272727" w:themeColor="text1" w:themeTint="D8"/>
    </w:rPr>
  </w:style>
  <w:style w:type="paragraph" w:styleId="Tytu">
    <w:name w:val="Title"/>
    <w:basedOn w:val="Normalny"/>
    <w:next w:val="Normalny"/>
    <w:link w:val="TytuZnak"/>
    <w:uiPriority w:val="10"/>
    <w:qFormat/>
    <w:rsid w:val="00C641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416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416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416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4161"/>
    <w:pPr>
      <w:spacing w:before="160"/>
      <w:jc w:val="center"/>
    </w:pPr>
    <w:rPr>
      <w:i/>
      <w:iCs/>
      <w:color w:val="404040" w:themeColor="text1" w:themeTint="BF"/>
    </w:rPr>
  </w:style>
  <w:style w:type="character" w:customStyle="1" w:styleId="CytatZnak">
    <w:name w:val="Cytat Znak"/>
    <w:basedOn w:val="Domylnaczcionkaakapitu"/>
    <w:link w:val="Cytat"/>
    <w:uiPriority w:val="29"/>
    <w:rsid w:val="00C64161"/>
    <w:rPr>
      <w:i/>
      <w:iCs/>
      <w:color w:val="404040" w:themeColor="text1" w:themeTint="BF"/>
    </w:rPr>
  </w:style>
  <w:style w:type="paragraph" w:styleId="Akapitzlist">
    <w:name w:val="List Paragraph"/>
    <w:basedOn w:val="Normalny"/>
    <w:uiPriority w:val="34"/>
    <w:qFormat/>
    <w:rsid w:val="00C64161"/>
    <w:pPr>
      <w:ind w:left="720"/>
      <w:contextualSpacing/>
    </w:pPr>
  </w:style>
  <w:style w:type="character" w:styleId="Wyrnienieintensywne">
    <w:name w:val="Intense Emphasis"/>
    <w:basedOn w:val="Domylnaczcionkaakapitu"/>
    <w:uiPriority w:val="21"/>
    <w:qFormat/>
    <w:rsid w:val="00C64161"/>
    <w:rPr>
      <w:i/>
      <w:iCs/>
      <w:color w:val="2F5496" w:themeColor="accent1" w:themeShade="BF"/>
    </w:rPr>
  </w:style>
  <w:style w:type="paragraph" w:styleId="Cytatintensywny">
    <w:name w:val="Intense Quote"/>
    <w:basedOn w:val="Normalny"/>
    <w:next w:val="Normalny"/>
    <w:link w:val="CytatintensywnyZnak"/>
    <w:uiPriority w:val="30"/>
    <w:qFormat/>
    <w:rsid w:val="00C641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64161"/>
    <w:rPr>
      <w:i/>
      <w:iCs/>
      <w:color w:val="2F5496" w:themeColor="accent1" w:themeShade="BF"/>
    </w:rPr>
  </w:style>
  <w:style w:type="character" w:styleId="Odwoanieintensywne">
    <w:name w:val="Intense Reference"/>
    <w:basedOn w:val="Domylnaczcionkaakapitu"/>
    <w:uiPriority w:val="32"/>
    <w:qFormat/>
    <w:rsid w:val="00C64161"/>
    <w:rPr>
      <w:b/>
      <w:bCs/>
      <w:smallCaps/>
      <w:color w:val="2F5496" w:themeColor="accent1" w:themeShade="BF"/>
      <w:spacing w:val="5"/>
    </w:rPr>
  </w:style>
  <w:style w:type="paragraph" w:customStyle="1" w:styleId="Styl1">
    <w:name w:val="Styl1"/>
    <w:basedOn w:val="Nagwek"/>
    <w:qFormat/>
    <w:rsid w:val="00662545"/>
    <w:pPr>
      <w:numPr>
        <w:numId w:val="1"/>
      </w:numPr>
      <w:tabs>
        <w:tab w:val="num" w:pos="360"/>
      </w:tabs>
      <w:spacing w:line="360" w:lineRule="auto"/>
      <w:ind w:left="0" w:firstLine="0"/>
    </w:pPr>
    <w:rPr>
      <w:rFonts w:ascii="Arial" w:hAnsi="Arial" w:cs="Arial"/>
      <w:b/>
      <w:sz w:val="24"/>
      <w:szCs w:val="24"/>
      <w:lang w:bidi="pl-PL"/>
    </w:rPr>
  </w:style>
  <w:style w:type="paragraph" w:styleId="Nagwek">
    <w:name w:val="header"/>
    <w:basedOn w:val="Normalny"/>
    <w:link w:val="NagwekZnak"/>
    <w:uiPriority w:val="99"/>
    <w:unhideWhenUsed/>
    <w:rsid w:val="006625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2545"/>
    <w:rPr>
      <w:kern w:val="0"/>
      <w14:ligatures w14:val="none"/>
    </w:rPr>
  </w:style>
  <w:style w:type="paragraph" w:styleId="Stopka">
    <w:name w:val="footer"/>
    <w:basedOn w:val="Normalny"/>
    <w:link w:val="StopkaZnak"/>
    <w:uiPriority w:val="99"/>
    <w:unhideWhenUsed/>
    <w:rsid w:val="006625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2545"/>
    <w:rPr>
      <w:kern w:val="0"/>
      <w14:ligatures w14:val="none"/>
    </w:rPr>
  </w:style>
  <w:style w:type="character" w:styleId="Hipercze">
    <w:name w:val="Hyperlink"/>
    <w:basedOn w:val="Domylnaczcionkaakapitu"/>
    <w:uiPriority w:val="99"/>
    <w:unhideWhenUsed/>
    <w:rsid w:val="00662545"/>
    <w:rPr>
      <w:color w:val="0563C1" w:themeColor="hyperlink"/>
      <w:u w:val="single"/>
    </w:rPr>
  </w:style>
  <w:style w:type="character" w:styleId="Nierozpoznanawzmianka">
    <w:name w:val="Unresolved Mention"/>
    <w:basedOn w:val="Domylnaczcionkaakapitu"/>
    <w:uiPriority w:val="99"/>
    <w:semiHidden/>
    <w:unhideWhenUsed/>
    <w:rsid w:val="00662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iat.lowicz.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gdalena.zurawska@powiatlowicki.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zamowienia.gov.pl/mp-client/search/list/ocds-148610-021913a1-724f-4711-8dce-57391fd4d7c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5382</Words>
  <Characters>32293</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3</cp:revision>
  <dcterms:created xsi:type="dcterms:W3CDTF">2026-02-19T14:07:00Z</dcterms:created>
  <dcterms:modified xsi:type="dcterms:W3CDTF">2026-02-19T14:08:00Z</dcterms:modified>
</cp:coreProperties>
</file>